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the Core Terms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 (Resolving Disputes):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34.4 – Conduct of Arbitration. </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the Joint Schedules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 Definitions shall be amended as follows: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“Working Day”: reference to “England and Wales” replaced by “Scotland”</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Annex 1 - Form of Guarantee: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WHEREAS (B) “deed” replaced by “contract”</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Clause 4.1 Delete references to “England and Wales” when referring to addresses.</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Alter execution strip to read as follows: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Call-Off Schedules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References to Legislation</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240" w:lineRule="auto"/>
        <w:ind w:left="1440"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r>
  </w:p>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Pyc03T/3vgT/Ge4TGwNh2nfORw==">AMUW2mXaVqAqJ+bJVk5fz8y/mNtVB8hWQhN3M7/TNVMJ7ecdtlaIXRWelBCAnkmWt7UJUcE51s9q5eo3sZV5fPKbaLdYAcM9YO9pecuX4qDtbqG+mjSiOODLGpHioe4/VS+4xMAYOWrx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2022-08-01T09:53:00Z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